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95" w:rsidRDefault="00983095" w:rsidP="00836A60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36A60" w:rsidRPr="000811C7" w:rsidRDefault="000811C7" w:rsidP="00836A60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811C7">
        <w:rPr>
          <w:rFonts w:asciiTheme="majorHAnsi" w:hAnsiTheme="majorHAnsi"/>
          <w:b/>
          <w:sz w:val="28"/>
          <w:szCs w:val="28"/>
        </w:rPr>
        <w:t>Program</w:t>
      </w:r>
      <w:r>
        <w:rPr>
          <w:rFonts w:asciiTheme="majorHAnsi" w:hAnsiTheme="majorHAnsi"/>
          <w:b/>
          <w:sz w:val="28"/>
          <w:szCs w:val="28"/>
        </w:rPr>
        <w:t>me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54526" w:rsidRPr="008B2DB5" w:rsidTr="00BF266B">
        <w:trPr>
          <w:trHeight w:val="888"/>
        </w:trPr>
        <w:tc>
          <w:tcPr>
            <w:tcW w:w="1951" w:type="dxa"/>
          </w:tcPr>
          <w:p w:rsidR="00B54526" w:rsidRPr="008B2DB5" w:rsidRDefault="000811C7" w:rsidP="00BF266B">
            <w:pPr>
              <w:tabs>
                <w:tab w:val="left" w:pos="1985"/>
              </w:tabs>
              <w:spacing w:after="120" w:line="48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0</w:t>
            </w:r>
            <w:r w:rsidR="00B54526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9:30-10:00</w:t>
            </w:r>
          </w:p>
        </w:tc>
        <w:tc>
          <w:tcPr>
            <w:tcW w:w="7088" w:type="dxa"/>
          </w:tcPr>
          <w:p w:rsidR="00B54526" w:rsidRPr="008B2DB5" w:rsidRDefault="00B54526" w:rsidP="00BF266B">
            <w:pPr>
              <w:tabs>
                <w:tab w:val="left" w:pos="1985"/>
              </w:tabs>
              <w:spacing w:after="120" w:line="48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Registration</w:t>
            </w:r>
          </w:p>
        </w:tc>
      </w:tr>
      <w:tr w:rsidR="00B54526" w:rsidRPr="008B2DB5" w:rsidTr="008B2DB5">
        <w:trPr>
          <w:trHeight w:val="2144"/>
        </w:trPr>
        <w:tc>
          <w:tcPr>
            <w:tcW w:w="1951" w:type="dxa"/>
          </w:tcPr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10:00-10:10</w:t>
            </w:r>
          </w:p>
        </w:tc>
        <w:tc>
          <w:tcPr>
            <w:tcW w:w="7088" w:type="dxa"/>
          </w:tcPr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Opening 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C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eremony</w:t>
            </w:r>
          </w:p>
          <w:p w:rsidR="00B54526" w:rsidRPr="008B2DB5" w:rsidRDefault="00B54526" w:rsidP="00403482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>Remarks</w:t>
            </w:r>
            <w:r w:rsidR="00403482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>:</w:t>
            </w: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Mr</w:t>
            </w:r>
            <w:r w:rsidR="000811C7"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.</w:t>
            </w:r>
            <w:proofErr w:type="spellEnd"/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Bill Paterson PSM, Australian Ambassador</w:t>
            </w:r>
            <w:r w:rsidR="00314050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="00403482"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to the Republic of Korea</w:t>
            </w:r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, and</w:t>
            </w:r>
            <w:r w:rsidR="00403482"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Mr</w:t>
            </w:r>
            <w:r w:rsidR="000811C7"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.</w:t>
            </w:r>
            <w:proofErr w:type="spellEnd"/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KANG Young-</w:t>
            </w:r>
            <w:proofErr w:type="spellStart"/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chul</w:t>
            </w:r>
            <w:proofErr w:type="spellEnd"/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, Deputy Minister</w:t>
            </w:r>
            <w:r w:rsidR="000B2D12"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, Regulatory Reform Office</w:t>
            </w:r>
            <w:r w:rsidRPr="00403482">
              <w:rPr>
                <w:rFonts w:asciiTheme="majorHAnsi" w:hAnsiTheme="majorHAnsi"/>
                <w:sz w:val="22"/>
                <w:szCs w:val="22"/>
                <w:lang w:eastAsia="ko-KR"/>
              </w:rPr>
              <w:t>, Office for Government Policy Coordination</w:t>
            </w:r>
          </w:p>
        </w:tc>
      </w:tr>
      <w:tr w:rsidR="00B54526" w:rsidRPr="008B2DB5" w:rsidTr="00BF266B">
        <w:trPr>
          <w:trHeight w:val="836"/>
        </w:trPr>
        <w:tc>
          <w:tcPr>
            <w:tcW w:w="1951" w:type="dxa"/>
          </w:tcPr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10:10-10:15</w:t>
            </w:r>
          </w:p>
        </w:tc>
        <w:tc>
          <w:tcPr>
            <w:tcW w:w="7088" w:type="dxa"/>
          </w:tcPr>
          <w:p w:rsidR="00B54526" w:rsidRPr="008B2DB5" w:rsidRDefault="00BF266B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Group P</w:t>
            </w:r>
            <w:r w:rsidR="00B54526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hoto</w:t>
            </w:r>
          </w:p>
        </w:tc>
      </w:tr>
      <w:tr w:rsidR="00B54526" w:rsidRPr="008B2DB5" w:rsidTr="00BF266B">
        <w:trPr>
          <w:trHeight w:val="3242"/>
        </w:trPr>
        <w:tc>
          <w:tcPr>
            <w:tcW w:w="1951" w:type="dxa"/>
          </w:tcPr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10:15-11:30</w:t>
            </w:r>
          </w:p>
        </w:tc>
        <w:tc>
          <w:tcPr>
            <w:tcW w:w="7088" w:type="dxa"/>
          </w:tcPr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Session 1: International 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D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evelopments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(</w:t>
            </w: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>1 hour, 15 minutes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)</w:t>
            </w:r>
          </w:p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Chair: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Paul Schofield, Counsellor (Economic), Australian Embassy Seoul</w:t>
            </w:r>
          </w:p>
          <w:p w:rsidR="00490E3B" w:rsidRPr="008B2DB5" w:rsidRDefault="00490E3B" w:rsidP="00490E3B">
            <w:pPr>
              <w:pStyle w:val="ListParagraph"/>
              <w:numPr>
                <w:ilvl w:val="0"/>
                <w:numId w:val="3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OECD work on regulatory policy and governance</w:t>
            </w:r>
          </w:p>
          <w:p w:rsidR="00B54526" w:rsidRPr="008B2DB5" w:rsidRDefault="00B54526" w:rsidP="00490E3B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Presenter: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Nick 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Malyshev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Head, Regulatory Policy, Public Governance and Territorial Development Directorate, OECD</w:t>
            </w: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B54526" w:rsidRPr="008B2DB5" w:rsidTr="008B2DB5">
        <w:trPr>
          <w:trHeight w:val="902"/>
        </w:trPr>
        <w:tc>
          <w:tcPr>
            <w:tcW w:w="1951" w:type="dxa"/>
          </w:tcPr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11:30-11:45</w:t>
            </w:r>
          </w:p>
        </w:tc>
        <w:tc>
          <w:tcPr>
            <w:tcW w:w="7088" w:type="dxa"/>
          </w:tcPr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Networking break (coffee and tea)</w:t>
            </w:r>
          </w:p>
        </w:tc>
      </w:tr>
      <w:tr w:rsidR="00B54526" w:rsidRPr="008B2DB5" w:rsidTr="00BF266B">
        <w:tc>
          <w:tcPr>
            <w:tcW w:w="1951" w:type="dxa"/>
          </w:tcPr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11:45-13:00</w:t>
            </w:r>
          </w:p>
        </w:tc>
        <w:tc>
          <w:tcPr>
            <w:tcW w:w="7088" w:type="dxa"/>
          </w:tcPr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Session 2: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b/>
                <w:sz w:val="22"/>
                <w:szCs w:val="22"/>
              </w:rPr>
              <w:t xml:space="preserve">Country 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8B2DB5">
              <w:rPr>
                <w:rFonts w:asciiTheme="majorHAnsi" w:hAnsiTheme="majorHAnsi"/>
                <w:b/>
                <w:sz w:val="22"/>
                <w:szCs w:val="22"/>
              </w:rPr>
              <w:t xml:space="preserve">verviews </w:t>
            </w:r>
            <w:r w:rsidRPr="008B2DB5">
              <w:rPr>
                <w:rFonts w:asciiTheme="majorHAnsi" w:hAnsiTheme="majorHAnsi"/>
                <w:sz w:val="22"/>
                <w:szCs w:val="22"/>
              </w:rPr>
              <w:t>(</w:t>
            </w:r>
            <w:r w:rsidRPr="008B2DB5">
              <w:rPr>
                <w:rFonts w:asciiTheme="majorHAnsi" w:hAnsiTheme="majorHAnsi"/>
                <w:i/>
                <w:sz w:val="22"/>
                <w:szCs w:val="22"/>
              </w:rPr>
              <w:t>1 hour, 15 minutes</w:t>
            </w:r>
            <w:r w:rsidRPr="008B2DB5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Chair: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Nick 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Malyshev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Head, Regulatory Policy, Public Governance and Territorial Development Directorate, OECD</w:t>
            </w:r>
          </w:p>
          <w:p w:rsidR="00490E3B" w:rsidRPr="008B2DB5" w:rsidRDefault="00490E3B" w:rsidP="00490E3B">
            <w:pPr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Renovating </w:t>
            </w:r>
            <w:r w:rsidR="002B7EAE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r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egulatory </w:t>
            </w:r>
            <w:r w:rsidR="002B7EAE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r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eform in Korea</w:t>
            </w:r>
          </w:p>
          <w:p w:rsidR="00B54526" w:rsidRPr="008B2DB5" w:rsidRDefault="00B54526" w:rsidP="00490E3B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Presenter: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Ms.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YOON Sun-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hee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, Director, </w:t>
            </w:r>
            <w:r w:rsidR="000B2D12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Regulatory Reform Office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Office for Government Policy Coordination</w:t>
            </w:r>
          </w:p>
          <w:p w:rsidR="002B7EAE" w:rsidRPr="008B2DB5" w:rsidRDefault="002B7EAE" w:rsidP="002B7EAE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Australia’s deregulation agenda, including recent evolution and current experiences </w:t>
            </w:r>
          </w:p>
          <w:p w:rsidR="00983095" w:rsidRPr="008B2DB5" w:rsidRDefault="00B54526" w:rsidP="002B7EAE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>Presenter</w:t>
            </w:r>
            <w:r w:rsidR="00BF266B"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>s</w:t>
            </w: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Ms.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Linda Laker, Assistant Secretary, Office of Deregulation, Department of the Prime Minister and Cabinet</w:t>
            </w:r>
            <w:r w:rsidR="002B7EAE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and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Chris Toyne, Director, Office of Best Practice Regulation, Department of the Prime Minister and Cabinet</w:t>
            </w:r>
          </w:p>
        </w:tc>
      </w:tr>
      <w:tr w:rsidR="00B54526" w:rsidRPr="008B2DB5" w:rsidTr="008B2DB5">
        <w:trPr>
          <w:trHeight w:val="2412"/>
        </w:trPr>
        <w:tc>
          <w:tcPr>
            <w:tcW w:w="1951" w:type="dxa"/>
          </w:tcPr>
          <w:p w:rsidR="00BF266B" w:rsidRPr="008B2DB5" w:rsidRDefault="00BF266B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</w:p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13:00-14:30</w:t>
            </w:r>
          </w:p>
        </w:tc>
        <w:tc>
          <w:tcPr>
            <w:tcW w:w="7088" w:type="dxa"/>
          </w:tcPr>
          <w:p w:rsidR="00BF266B" w:rsidRPr="008B2DB5" w:rsidRDefault="00BF266B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</w:p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Lunch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with </w:t>
            </w:r>
            <w:r w:rsidR="00314050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keynote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 speaker</w:t>
            </w:r>
            <w:r w:rsidR="00314050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: Business perspectives on regulatory reform</w:t>
            </w:r>
          </w:p>
          <w:p w:rsidR="00B54526" w:rsidRPr="008B2DB5" w:rsidRDefault="00BF266B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>Presenter</w:t>
            </w:r>
            <w:r w:rsidR="00B54526"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="00B54526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KWON Tae Shin, President and CEO, Korea Economic Research Institute (KERI)</w:t>
            </w:r>
          </w:p>
        </w:tc>
      </w:tr>
      <w:tr w:rsidR="00B54526" w:rsidRPr="008B2DB5" w:rsidTr="008B2DB5">
        <w:trPr>
          <w:trHeight w:val="5108"/>
        </w:trPr>
        <w:tc>
          <w:tcPr>
            <w:tcW w:w="1951" w:type="dxa"/>
          </w:tcPr>
          <w:p w:rsidR="00B54526" w:rsidRPr="008B2DB5" w:rsidRDefault="00B54526" w:rsidP="00CC1169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14:30-15:45</w:t>
            </w:r>
          </w:p>
        </w:tc>
        <w:tc>
          <w:tcPr>
            <w:tcW w:w="7088" w:type="dxa"/>
          </w:tcPr>
          <w:p w:rsidR="00B54526" w:rsidRPr="008B2DB5" w:rsidRDefault="00B54526" w:rsidP="00CC1169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Session 3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: </w:t>
            </w:r>
            <w:r w:rsidRPr="008B2DB5">
              <w:rPr>
                <w:rFonts w:asciiTheme="majorHAnsi" w:hAnsiTheme="majorHAnsi"/>
                <w:b/>
                <w:sz w:val="22"/>
                <w:szCs w:val="22"/>
              </w:rPr>
              <w:t xml:space="preserve">Case 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8B2DB5">
              <w:rPr>
                <w:rFonts w:asciiTheme="majorHAnsi" w:hAnsiTheme="majorHAnsi"/>
                <w:b/>
                <w:sz w:val="22"/>
                <w:szCs w:val="22"/>
              </w:rPr>
              <w:t xml:space="preserve">tudies </w:t>
            </w:r>
            <w:r w:rsidRPr="008B2DB5">
              <w:rPr>
                <w:rFonts w:asciiTheme="majorHAnsi" w:hAnsiTheme="majorHAnsi"/>
                <w:sz w:val="22"/>
                <w:szCs w:val="22"/>
              </w:rPr>
              <w:t>(</w:t>
            </w:r>
            <w:r w:rsidRPr="008B2DB5">
              <w:rPr>
                <w:rFonts w:asciiTheme="majorHAnsi" w:hAnsiTheme="majorHAnsi"/>
                <w:i/>
                <w:sz w:val="22"/>
                <w:szCs w:val="22"/>
              </w:rPr>
              <w:t>1 hour, 15 minutes</w:t>
            </w:r>
            <w:r w:rsidRPr="008B2DB5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Chair: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Faisal 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Naru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Senior Economist, Regulatory Policy, Public Governance and Territorial Development Directorate, OEC</w:t>
            </w:r>
            <w:r w:rsidR="00983095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D</w:t>
            </w:r>
          </w:p>
          <w:p w:rsidR="002B7EAE" w:rsidRPr="008B2DB5" w:rsidRDefault="002B7EAE" w:rsidP="002B7EAE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Government environmental assessment and approvals processes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 in Australia</w:t>
            </w:r>
          </w:p>
          <w:p w:rsidR="00B54526" w:rsidRPr="008B2DB5" w:rsidRDefault="00B54526" w:rsidP="002B7EAE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Presenter: </w:t>
            </w:r>
            <w:proofErr w:type="spellStart"/>
            <w:r w:rsidR="002B7EAE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2B7EAE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Chris Toyne, Director, Office of Best Practice Regulation, Department of the Prime Minister and Cabinet</w:t>
            </w:r>
          </w:p>
          <w:p w:rsidR="002B7EAE" w:rsidRPr="008B2DB5" w:rsidRDefault="002B7EAE" w:rsidP="002B7EAE">
            <w:pPr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Korean financial sector reformation efforts</w:t>
            </w:r>
          </w:p>
          <w:p w:rsidR="00B54526" w:rsidRPr="008B2DB5" w:rsidRDefault="00B54526" w:rsidP="002B7EAE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Presenter: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LEE Young-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jick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Director, International Cooperation Division, Financial Services Commission (FSC)</w:t>
            </w:r>
          </w:p>
        </w:tc>
      </w:tr>
      <w:tr w:rsidR="00B54526" w:rsidRPr="008B2DB5" w:rsidTr="008B2DB5">
        <w:trPr>
          <w:trHeight w:val="1000"/>
        </w:trPr>
        <w:tc>
          <w:tcPr>
            <w:tcW w:w="1951" w:type="dxa"/>
          </w:tcPr>
          <w:p w:rsidR="00B54526" w:rsidRPr="008B2DB5" w:rsidRDefault="00B54526" w:rsidP="00CC1169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15:45-16:00</w:t>
            </w:r>
          </w:p>
        </w:tc>
        <w:tc>
          <w:tcPr>
            <w:tcW w:w="7088" w:type="dxa"/>
          </w:tcPr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Networking break (coffee and tea)</w:t>
            </w:r>
          </w:p>
        </w:tc>
      </w:tr>
      <w:tr w:rsidR="00B54526" w:rsidRPr="008B2DB5" w:rsidTr="00BF266B">
        <w:tc>
          <w:tcPr>
            <w:tcW w:w="1951" w:type="dxa"/>
          </w:tcPr>
          <w:p w:rsidR="00B54526" w:rsidRPr="008B2DB5" w:rsidRDefault="00B54526" w:rsidP="00CC1169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16:00-17:15</w:t>
            </w:r>
          </w:p>
        </w:tc>
        <w:tc>
          <w:tcPr>
            <w:tcW w:w="7088" w:type="dxa"/>
          </w:tcPr>
          <w:p w:rsidR="00B54526" w:rsidRPr="008B2DB5" w:rsidRDefault="00B54526" w:rsidP="00CC1169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Session 4: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Frameworks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(</w:t>
            </w: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>1 hour, 15 minutes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)</w:t>
            </w:r>
          </w:p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Chair: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Ms.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YOON Sun-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hee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, </w:t>
            </w:r>
            <w:r w:rsidR="002B7EAE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Director, Regulatory Reform Office,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Offic</w:t>
            </w:r>
            <w:r w:rsidR="002B7EAE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e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for Government Policy Coordination</w:t>
            </w:r>
          </w:p>
          <w:p w:rsidR="002B7EAE" w:rsidRPr="008B2DB5" w:rsidRDefault="002B7EAE" w:rsidP="002B7EAE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The OECD best practice principles on the 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g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overnance of 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r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egulators </w:t>
            </w:r>
          </w:p>
          <w:p w:rsidR="00B54526" w:rsidRPr="008B2DB5" w:rsidRDefault="00B54526" w:rsidP="002B7EAE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Presenter: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Faisal 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Naru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Senior Economist, Regulatory Policy, Public Governance and Territorial Development Directorate, OEC</w:t>
            </w:r>
            <w:r w:rsidR="00983095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D</w:t>
            </w:r>
          </w:p>
          <w:p w:rsidR="002B7EAE" w:rsidRPr="008B2DB5" w:rsidRDefault="002B7EAE" w:rsidP="002B7EAE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Australian </w:t>
            </w:r>
            <w:r w:rsidR="00BF266B"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G</w:t>
            </w: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overnment regulator performance framework</w:t>
            </w:r>
          </w:p>
          <w:p w:rsidR="00B54526" w:rsidRPr="008B2DB5" w:rsidRDefault="00B54526" w:rsidP="002B7EAE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Presenter: </w:t>
            </w:r>
            <w:proofErr w:type="spellStart"/>
            <w:r w:rsidR="002B7EAE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Ms.</w:t>
            </w:r>
            <w:proofErr w:type="spellEnd"/>
            <w:r w:rsidR="002B7EAE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Linda Laker, Assistant Secretary, Office of Deregulation, Department of the Prime Minister and Cabinet</w:t>
            </w:r>
          </w:p>
          <w:p w:rsidR="002B7EAE" w:rsidRPr="008B2DB5" w:rsidRDefault="002B7EAE" w:rsidP="002B7EAE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 xml:space="preserve">Regulatory information map of Korea </w:t>
            </w:r>
          </w:p>
          <w:p w:rsidR="00B54526" w:rsidRPr="008B2DB5" w:rsidRDefault="00B54526" w:rsidP="002B7EAE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Presenter: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KIM Kwang-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hwi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Director, Local Regulatory Reform Division, Ministry of Government Administration and Home Affairs</w:t>
            </w:r>
          </w:p>
        </w:tc>
      </w:tr>
      <w:tr w:rsidR="00510205" w:rsidRPr="008B2DB5" w:rsidTr="00BF266B">
        <w:tc>
          <w:tcPr>
            <w:tcW w:w="1951" w:type="dxa"/>
          </w:tcPr>
          <w:p w:rsidR="00510205" w:rsidRPr="008B2DB5" w:rsidRDefault="00510205" w:rsidP="00CC1169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</w:p>
        </w:tc>
        <w:tc>
          <w:tcPr>
            <w:tcW w:w="7088" w:type="dxa"/>
          </w:tcPr>
          <w:p w:rsidR="00510205" w:rsidRPr="008B2DB5" w:rsidRDefault="00510205" w:rsidP="00CC1169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</w:p>
        </w:tc>
      </w:tr>
      <w:tr w:rsidR="00B54526" w:rsidRPr="008B2DB5" w:rsidTr="00BF266B">
        <w:tc>
          <w:tcPr>
            <w:tcW w:w="1951" w:type="dxa"/>
          </w:tcPr>
          <w:p w:rsidR="008B2DB5" w:rsidRDefault="008B2DB5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</w:p>
          <w:p w:rsidR="00B54526" w:rsidRPr="008B2DB5" w:rsidRDefault="00B54526" w:rsidP="00B54526">
            <w:pPr>
              <w:tabs>
                <w:tab w:val="left" w:pos="1985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17:15-17:30</w:t>
            </w:r>
          </w:p>
        </w:tc>
        <w:tc>
          <w:tcPr>
            <w:tcW w:w="7088" w:type="dxa"/>
          </w:tcPr>
          <w:p w:rsidR="008B2DB5" w:rsidRDefault="008B2DB5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</w:p>
          <w:p w:rsidR="00B54526" w:rsidRPr="008B2DB5" w:rsidRDefault="00EB3E5E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Wrap up</w:t>
            </w:r>
          </w:p>
          <w:p w:rsidR="00B54526" w:rsidRPr="008B2DB5" w:rsidRDefault="00B54526" w:rsidP="00B54526">
            <w:p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Chair: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Paul Schofield, Counsellor (Economic), Australian Embassy Seoul</w:t>
            </w:r>
          </w:p>
          <w:p w:rsidR="00B54526" w:rsidRPr="008B2DB5" w:rsidRDefault="00B54526" w:rsidP="00B54526">
            <w:pPr>
              <w:numPr>
                <w:ilvl w:val="0"/>
                <w:numId w:val="2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b/>
                <w:sz w:val="22"/>
                <w:szCs w:val="22"/>
                <w:lang w:eastAsia="ko-KR"/>
              </w:rPr>
              <w:t>Concluding comments</w:t>
            </w:r>
          </w:p>
          <w:p w:rsidR="00983095" w:rsidRPr="008B2DB5" w:rsidRDefault="00B54526" w:rsidP="00983095">
            <w:pPr>
              <w:numPr>
                <w:ilvl w:val="0"/>
                <w:numId w:val="5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Korea: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Ms.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YOON Sun-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hee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, Director, </w:t>
            </w:r>
            <w:r w:rsidR="00983095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Regulatory Reform Office, Office for Government Policy Coordination</w:t>
            </w:r>
            <w:r w:rsidR="00983095"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 </w:t>
            </w:r>
          </w:p>
          <w:p w:rsidR="00B54526" w:rsidRPr="008B2DB5" w:rsidRDefault="00B54526" w:rsidP="00B54526">
            <w:pPr>
              <w:numPr>
                <w:ilvl w:val="0"/>
                <w:numId w:val="5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Australia: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Ms.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Linda Laker, Assistant Secretary, Office of Deregulation, Department of the Prime Minister and Cabinet</w:t>
            </w:r>
          </w:p>
          <w:p w:rsidR="00B54526" w:rsidRPr="008B2DB5" w:rsidRDefault="00B54526" w:rsidP="00B54526">
            <w:pPr>
              <w:numPr>
                <w:ilvl w:val="0"/>
                <w:numId w:val="5"/>
              </w:numPr>
              <w:tabs>
                <w:tab w:val="left" w:pos="2410"/>
              </w:tabs>
              <w:spacing w:after="120" w:line="360" w:lineRule="auto"/>
              <w:rPr>
                <w:rFonts w:asciiTheme="majorHAnsi" w:hAnsiTheme="majorHAnsi"/>
                <w:i/>
                <w:sz w:val="22"/>
                <w:szCs w:val="22"/>
                <w:lang w:eastAsia="ko-KR"/>
              </w:rPr>
            </w:pPr>
            <w:r w:rsidRPr="008B2DB5">
              <w:rPr>
                <w:rFonts w:asciiTheme="majorHAnsi" w:hAnsiTheme="majorHAnsi"/>
                <w:i/>
                <w:sz w:val="22"/>
                <w:szCs w:val="22"/>
                <w:lang w:eastAsia="ko-KR"/>
              </w:rPr>
              <w:t xml:space="preserve">OECD: </w:t>
            </w:r>
            <w:proofErr w:type="spellStart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Mr.</w:t>
            </w:r>
            <w:proofErr w:type="spellEnd"/>
            <w:r w:rsidR="000811C7"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 </w:t>
            </w:r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 xml:space="preserve">Nick </w:t>
            </w:r>
            <w:proofErr w:type="spellStart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Malyshev</w:t>
            </w:r>
            <w:proofErr w:type="spellEnd"/>
            <w:r w:rsidRPr="008B2DB5">
              <w:rPr>
                <w:rFonts w:asciiTheme="majorHAnsi" w:hAnsiTheme="majorHAnsi"/>
                <w:sz w:val="22"/>
                <w:szCs w:val="22"/>
                <w:lang w:eastAsia="ko-KR"/>
              </w:rPr>
              <w:t>, Head, Regulatory Policy, Public Governance and Territorial Development Directorate</w:t>
            </w:r>
          </w:p>
        </w:tc>
      </w:tr>
    </w:tbl>
    <w:p w:rsidR="000811C7" w:rsidRPr="000811C7" w:rsidRDefault="000811C7" w:rsidP="000811C7">
      <w:pPr>
        <w:spacing w:line="360" w:lineRule="auto"/>
        <w:rPr>
          <w:rFonts w:asciiTheme="majorHAnsi" w:hAnsiTheme="majorHAnsi"/>
          <w:b/>
        </w:rPr>
      </w:pPr>
    </w:p>
    <w:p w:rsidR="00836A60" w:rsidRDefault="00836A60">
      <w:pPr>
        <w:rPr>
          <w:rStyle w:val="Strong"/>
          <w:rFonts w:asciiTheme="majorHAnsi" w:hAnsiTheme="majorHAnsi" w:hint="eastAsia"/>
          <w:sz w:val="28"/>
          <w:szCs w:val="28"/>
          <w:lang w:eastAsia="ko-KR"/>
        </w:rPr>
      </w:pPr>
      <w:bookmarkStart w:id="0" w:name="_GoBack"/>
      <w:bookmarkEnd w:id="0"/>
    </w:p>
    <w:sectPr w:rsidR="00836A60" w:rsidSect="00983095">
      <w:pgSz w:w="11906" w:h="16838"/>
      <w:pgMar w:top="851" w:right="180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1C" w:rsidRDefault="0040361C" w:rsidP="0040361C">
      <w:r>
        <w:separator/>
      </w:r>
    </w:p>
  </w:endnote>
  <w:endnote w:type="continuationSeparator" w:id="0">
    <w:p w:rsidR="0040361C" w:rsidRDefault="0040361C" w:rsidP="004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1C" w:rsidRDefault="0040361C" w:rsidP="0040361C">
      <w:r>
        <w:separator/>
      </w:r>
    </w:p>
  </w:footnote>
  <w:footnote w:type="continuationSeparator" w:id="0">
    <w:p w:rsidR="0040361C" w:rsidRDefault="0040361C" w:rsidP="004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E4D"/>
    <w:multiLevelType w:val="hybridMultilevel"/>
    <w:tmpl w:val="711CD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B3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5747"/>
    <w:multiLevelType w:val="hybridMultilevel"/>
    <w:tmpl w:val="1C30E6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675F5"/>
    <w:multiLevelType w:val="hybridMultilevel"/>
    <w:tmpl w:val="33222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77074"/>
    <w:multiLevelType w:val="hybridMultilevel"/>
    <w:tmpl w:val="E6A4C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26E1"/>
    <w:multiLevelType w:val="hybridMultilevel"/>
    <w:tmpl w:val="88B2A032"/>
    <w:lvl w:ilvl="0" w:tplc="8B84B3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B84B3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6A"/>
    <w:rsid w:val="000234A9"/>
    <w:rsid w:val="00061685"/>
    <w:rsid w:val="0006767D"/>
    <w:rsid w:val="000811C7"/>
    <w:rsid w:val="000857F4"/>
    <w:rsid w:val="000B2D12"/>
    <w:rsid w:val="000E7AD0"/>
    <w:rsid w:val="00102A39"/>
    <w:rsid w:val="00114EAF"/>
    <w:rsid w:val="00143A3D"/>
    <w:rsid w:val="001D589D"/>
    <w:rsid w:val="001E061F"/>
    <w:rsid w:val="001F388D"/>
    <w:rsid w:val="002B1619"/>
    <w:rsid w:val="002B7EAE"/>
    <w:rsid w:val="00314050"/>
    <w:rsid w:val="00322B71"/>
    <w:rsid w:val="003447FB"/>
    <w:rsid w:val="00344A74"/>
    <w:rsid w:val="00362319"/>
    <w:rsid w:val="003867F2"/>
    <w:rsid w:val="00403482"/>
    <w:rsid w:val="0040361C"/>
    <w:rsid w:val="004072F9"/>
    <w:rsid w:val="004213DA"/>
    <w:rsid w:val="0043017D"/>
    <w:rsid w:val="00490E3B"/>
    <w:rsid w:val="004B0372"/>
    <w:rsid w:val="004B172E"/>
    <w:rsid w:val="004C7303"/>
    <w:rsid w:val="004F121D"/>
    <w:rsid w:val="00510205"/>
    <w:rsid w:val="00536998"/>
    <w:rsid w:val="00570C81"/>
    <w:rsid w:val="005C1274"/>
    <w:rsid w:val="005C3D38"/>
    <w:rsid w:val="005D3F5B"/>
    <w:rsid w:val="005F7182"/>
    <w:rsid w:val="0060365A"/>
    <w:rsid w:val="00614E2E"/>
    <w:rsid w:val="00615035"/>
    <w:rsid w:val="006279BE"/>
    <w:rsid w:val="00647189"/>
    <w:rsid w:val="006553EE"/>
    <w:rsid w:val="00707136"/>
    <w:rsid w:val="00771B68"/>
    <w:rsid w:val="007F5ADA"/>
    <w:rsid w:val="00813976"/>
    <w:rsid w:val="00824BFB"/>
    <w:rsid w:val="00836A60"/>
    <w:rsid w:val="00852DA9"/>
    <w:rsid w:val="00867168"/>
    <w:rsid w:val="008714BA"/>
    <w:rsid w:val="008B2DB5"/>
    <w:rsid w:val="008F6516"/>
    <w:rsid w:val="00911D03"/>
    <w:rsid w:val="00913F38"/>
    <w:rsid w:val="00936850"/>
    <w:rsid w:val="00952ED4"/>
    <w:rsid w:val="00983095"/>
    <w:rsid w:val="00983E53"/>
    <w:rsid w:val="009A048B"/>
    <w:rsid w:val="009A5239"/>
    <w:rsid w:val="009F13F7"/>
    <w:rsid w:val="00A13262"/>
    <w:rsid w:val="00A14383"/>
    <w:rsid w:val="00A25588"/>
    <w:rsid w:val="00A50499"/>
    <w:rsid w:val="00A54B37"/>
    <w:rsid w:val="00A63BFB"/>
    <w:rsid w:val="00A97EE1"/>
    <w:rsid w:val="00AB3F73"/>
    <w:rsid w:val="00B07BD8"/>
    <w:rsid w:val="00B54526"/>
    <w:rsid w:val="00B62778"/>
    <w:rsid w:val="00B641D2"/>
    <w:rsid w:val="00BA6326"/>
    <w:rsid w:val="00BF266B"/>
    <w:rsid w:val="00C179AF"/>
    <w:rsid w:val="00C17DEB"/>
    <w:rsid w:val="00C319FF"/>
    <w:rsid w:val="00C362E6"/>
    <w:rsid w:val="00C52DC1"/>
    <w:rsid w:val="00C5592D"/>
    <w:rsid w:val="00C63A5F"/>
    <w:rsid w:val="00D03DA8"/>
    <w:rsid w:val="00D04109"/>
    <w:rsid w:val="00D51027"/>
    <w:rsid w:val="00D64185"/>
    <w:rsid w:val="00D826A5"/>
    <w:rsid w:val="00DC40E4"/>
    <w:rsid w:val="00E5605A"/>
    <w:rsid w:val="00EB3E5E"/>
    <w:rsid w:val="00EC7B79"/>
    <w:rsid w:val="00ED1A8F"/>
    <w:rsid w:val="00EE7688"/>
    <w:rsid w:val="00F32D6A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2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rsid w:val="00F32D6A"/>
    <w:rPr>
      <w:b/>
      <w:bCs/>
    </w:rPr>
  </w:style>
  <w:style w:type="table" w:styleId="TableGrid">
    <w:name w:val="Table Grid"/>
    <w:basedOn w:val="TableNormal"/>
    <w:rsid w:val="00F32D6A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ATextChar">
    <w:name w:val="BCA Text Char"/>
    <w:basedOn w:val="DefaultParagraphFont"/>
    <w:link w:val="BCAText"/>
    <w:locked/>
    <w:rsid w:val="00F32D6A"/>
    <w:rPr>
      <w:rFonts w:ascii="Arial" w:eastAsiaTheme="minorHAnsi" w:hAnsi="Arial" w:cstheme="minorBidi"/>
      <w:lang w:eastAsia="en-US"/>
    </w:rPr>
  </w:style>
  <w:style w:type="paragraph" w:customStyle="1" w:styleId="BCAText">
    <w:name w:val="BCA Text"/>
    <w:link w:val="BCATextChar"/>
    <w:qFormat/>
    <w:rsid w:val="00F32D6A"/>
    <w:pPr>
      <w:spacing w:before="120" w:after="120" w:line="250" w:lineRule="atLeast"/>
    </w:pPr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4B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72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03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6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3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361C"/>
    <w:rPr>
      <w:sz w:val="24"/>
      <w:szCs w:val="24"/>
      <w:lang w:eastAsia="en-US"/>
    </w:rPr>
  </w:style>
  <w:style w:type="paragraph" w:customStyle="1" w:styleId="a">
    <w:name w:val="바탕글"/>
    <w:basedOn w:val="Normal"/>
    <w:rsid w:val="00102A39"/>
    <w:pPr>
      <w:snapToGrid w:val="0"/>
      <w:spacing w:line="384" w:lineRule="auto"/>
      <w:jc w:val="both"/>
    </w:pPr>
    <w:rPr>
      <w:rFonts w:ascii="Batang" w:eastAsia="Batang" w:hAnsi="Batang"/>
      <w:color w:val="000000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83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2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rsid w:val="00F32D6A"/>
    <w:rPr>
      <w:b/>
      <w:bCs/>
    </w:rPr>
  </w:style>
  <w:style w:type="table" w:styleId="TableGrid">
    <w:name w:val="Table Grid"/>
    <w:basedOn w:val="TableNormal"/>
    <w:rsid w:val="00F32D6A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ATextChar">
    <w:name w:val="BCA Text Char"/>
    <w:basedOn w:val="DefaultParagraphFont"/>
    <w:link w:val="BCAText"/>
    <w:locked/>
    <w:rsid w:val="00F32D6A"/>
    <w:rPr>
      <w:rFonts w:ascii="Arial" w:eastAsiaTheme="minorHAnsi" w:hAnsi="Arial" w:cstheme="minorBidi"/>
      <w:lang w:eastAsia="en-US"/>
    </w:rPr>
  </w:style>
  <w:style w:type="paragraph" w:customStyle="1" w:styleId="BCAText">
    <w:name w:val="BCA Text"/>
    <w:link w:val="BCATextChar"/>
    <w:qFormat/>
    <w:rsid w:val="00F32D6A"/>
    <w:pPr>
      <w:spacing w:before="120" w:after="120" w:line="250" w:lineRule="atLeast"/>
    </w:pPr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4B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72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03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6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3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361C"/>
    <w:rPr>
      <w:sz w:val="24"/>
      <w:szCs w:val="24"/>
      <w:lang w:eastAsia="en-US"/>
    </w:rPr>
  </w:style>
  <w:style w:type="paragraph" w:customStyle="1" w:styleId="a">
    <w:name w:val="바탕글"/>
    <w:basedOn w:val="Normal"/>
    <w:rsid w:val="00102A39"/>
    <w:pPr>
      <w:snapToGrid w:val="0"/>
      <w:spacing w:line="384" w:lineRule="auto"/>
      <w:jc w:val="both"/>
    </w:pPr>
    <w:rPr>
      <w:rFonts w:ascii="Batang" w:eastAsia="Batang" w:hAnsi="Batang"/>
      <w:color w:val="000000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83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0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789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72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7F0EEE1C</Template>
  <TotalTime>0</TotalTime>
  <Pages>3</Pages>
  <Words>405</Words>
  <Characters>2777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Moonsun</dc:creator>
  <cp:lastModifiedBy>Cho, Moonsun</cp:lastModifiedBy>
  <cp:revision>3</cp:revision>
  <cp:lastPrinted>2015-03-12T04:12:00Z</cp:lastPrinted>
  <dcterms:created xsi:type="dcterms:W3CDTF">2015-03-12T07:28:00Z</dcterms:created>
  <dcterms:modified xsi:type="dcterms:W3CDTF">2015-03-12T07:28:00Z</dcterms:modified>
</cp:coreProperties>
</file>